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8305d3_defa14a.htm"/>
      <w:bookmarkStart w:id="1" w:name="kstm2618305d3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Specialty Lending Fund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7655" w:type="dxa"/>
        <w:jc w:val="left"/>
        <w:tblInd w:w="0" w:type="dxa"/>
        <w:tblLayout w:type="fixed"/>
        <w:tblCellMar>
          <w:top w:w="0" w:type="dxa"/>
          <w:left w:w="0" w:type="dxa"/>
          <w:bottom w:w="0" w:type="dxa"/>
          <w:right w:w="0" w:type="dxa"/>
        </w:tblCellMar>
      </w:tblPr>
      <w:tblGrid>
        <w:gridCol w:w="6495"/>
        <w:gridCol w:w="1160"/>
      </w:tblGrid>
      <w:tr>
        <w:trPr/>
        <w:tc>
          <w:tcPr>
            <w:tcW w:w="6495" w:type="dxa"/>
            <w:tcBorders/>
            <w:vAlign w:val="center"/>
          </w:tcPr>
          <w:p>
            <w:pPr>
              <w:pStyle w:val="TableContents"/>
              <w:bidi w:val="0"/>
              <w:spacing w:before="0" w:after="283"/>
              <w:jc w:val="center"/>
              <w:rPr/>
            </w:pPr>
            <w:r>
              <w:rPr/>
              <w:drawing>
                <wp:inline distT="0" distB="0" distL="0" distR="0">
                  <wp:extent cx="4114800" cy="315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3159125"/>
                          </a:xfrm>
                          <a:prstGeom prst="rect">
                            <a:avLst/>
                          </a:prstGeom>
                        </pic:spPr>
                      </pic:pic>
                    </a:graphicData>
                  </a:graphic>
                </wp:inline>
              </w:drawing>
            </w:r>
          </w:p>
        </w:tc>
        <w:tc>
          <w:tcPr>
            <w:tcW w:w="1160" w:type="dxa"/>
            <w:tcBorders/>
            <w:vAlign w:val="center"/>
          </w:tcPr>
          <w:p>
            <w:pPr>
              <w:pStyle w:val="TableContents"/>
              <w:bidi w:val="0"/>
              <w:spacing w:before="0" w:after="283"/>
              <w:jc w:val="both"/>
              <w:rPr>
                <w:color w:val="FFFFFF"/>
                <w:sz w:val="2"/>
              </w:rPr>
            </w:pPr>
            <w:r>
              <w:rPr>
                <w:color w:val="FFFFFF"/>
                <w:sz w:val="2"/>
              </w:rPr>
              <w:t>FS Specialty Lending Fund PLEASE VOTE TODAY Join your fellow shareholders What’s inside: Time-sensitive information about your investment and what you need to do</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3710"/>
      </w:tblGrid>
      <w:tr>
        <w:trPr/>
        <w:tc>
          <w:tcPr>
            <w:tcW w:w="6495" w:type="dxa"/>
            <w:tcBorders/>
            <w:vAlign w:val="center"/>
          </w:tcPr>
          <w:p>
            <w:pPr>
              <w:pStyle w:val="TableContents"/>
              <w:bidi w:val="0"/>
              <w:spacing w:before="0" w:after="283"/>
              <w:jc w:val="center"/>
              <w:rPr/>
            </w:pPr>
            <w:r>
              <w:rPr/>
              <w:drawing>
                <wp:inline distT="0" distB="0" distL="0" distR="0">
                  <wp:extent cx="4114800" cy="315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14800" cy="3159125"/>
                          </a:xfrm>
                          <a:prstGeom prst="rect">
                            <a:avLst/>
                          </a:prstGeom>
                        </pic:spPr>
                      </pic:pic>
                    </a:graphicData>
                  </a:graphic>
                </wp:inline>
              </w:drawing>
            </w:r>
          </w:p>
        </w:tc>
        <w:tc>
          <w:tcPr>
            <w:tcW w:w="3710" w:type="dxa"/>
            <w:tcBorders/>
            <w:vAlign w:val="center"/>
          </w:tcPr>
          <w:p>
            <w:pPr>
              <w:pStyle w:val="TableContents"/>
              <w:bidi w:val="0"/>
              <w:spacing w:before="0" w:after="283"/>
              <w:jc w:val="both"/>
              <w:rPr>
                <w:color w:val="FFFFFF"/>
                <w:sz w:val="2"/>
              </w:rPr>
            </w:pPr>
            <w:r>
              <w:rPr>
                <w:color w:val="FFFFFF"/>
                <w:sz w:val="2"/>
              </w:rPr>
              <w:t>WE NEED YOUR VOTE! The annual shareholder meeting will be held on August 3, 2026, and your vote is very important. You can vote your shares by internet, telephone or mail. Simply follow the instructions on the enclosed form. For your convenience, we’ve highlighted where you can find your unique Control Number. NOTE: This is not an actual Control Number. Please refer to the proxy card for your unique Control Number. NOTE: This is not an actual Control Number. Please refer to the proxy card for your unique Control Number. 3 WAYS TO VOTE TODAY BY COMPUTER Visit www.proxyvote.com. Please have your proxy card in hand when accessing the website. There are easy-to-follow directions to help you complete the electronic voting instruction form. BY PHONE With a proxy card. Call 1-800-690-6903 with a touch-tone phone to vote using an automated system. BY MAIL Mark, sign and date your ballot and return it in the postage-paid envelope provided.</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Words>
  <Characters>1714</Characters>
  <CharactersWithSpaces>2038</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