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tm2623918d1_8k.htm"/>
      <w:bookmarkStart w:id="1" w:name="kstm2623918d1_8k"/>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60825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25,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6"/>
      <w:bookmarkEnd w:id="4"/>
      <w:r>
        <w:rPr>
          <w:rFonts w:ascii="Times New Roman;Times;Serif" w:hAnsi="Times New Roman;Times;Serif"/>
          <w:b/>
          <w:i w:val="false"/>
          <w:caps w:val="false"/>
          <w:smallCaps w:val="false"/>
          <w:sz w:val="36"/>
        </w:rPr>
        <w:t>FS Specialty Lending Fund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5" w:name="xdx_90E_edei--EntityIncorporationStateCo"/>
            <w:bookmarkEnd w:id="5"/>
            <w:r>
              <w:rPr>
                <w:rFonts w:ascii="Times New Roman;Times;Serif" w:hAnsi="Times New Roman;Times;Serif"/>
                <w:b/>
                <w:i w:val="false"/>
                <w:caps w:val="false"/>
                <w:smallCaps w:val="false"/>
                <w:sz w:val="20"/>
              </w:rPr>
              <w:t>Delaware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6" w:name="xdx_90A_edei--EntityFileNumber_c20260825"/>
            <w:bookmarkEnd w:id="6"/>
            <w:r>
              <w:rPr>
                <w:rFonts w:ascii="Times New Roman;Times;Serif" w:hAnsi="Times New Roman;Times;Serif"/>
                <w:b/>
                <w:i w:val="false"/>
                <w:caps w:val="false"/>
                <w:smallCaps w:val="false"/>
                <w:sz w:val="20"/>
              </w:rPr>
              <w:t>811-24080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 xml:space="preserve">27-6822130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0" w:type="dxa"/>
          <w:right w:w="0" w:type="dxa"/>
        </w:tblCellMar>
      </w:tblPr>
      <w:tblGrid>
        <w:gridCol w:w="3290"/>
        <w:gridCol w:w="60"/>
        <w:gridCol w:w="935"/>
      </w:tblGrid>
      <w:tr>
        <w:trPr/>
        <w:tc>
          <w:tcPr>
            <w:tcW w:w="329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9_edei--EntityAddressAddressLine1_"/>
            <w:bookmarkEnd w:id="8"/>
            <w:r>
              <w:rPr>
                <w:rFonts w:ascii="Times New Roman;Times;Serif" w:hAnsi="Times New Roman;Times;Serif"/>
                <w:b/>
                <w:i w:val="false"/>
                <w:caps w:val="false"/>
                <w:smallCaps w:val="false"/>
                <w:sz w:val="20"/>
              </w:rPr>
              <w:t>3025 JFK Boulevard, OFC 500</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i w:val="false"/>
                <w:caps w:val="false"/>
                <w:smallCaps w:val="false"/>
                <w:sz w:val="20"/>
              </w:rPr>
              <w:t xml:space="preserve">Philadelphia, </w:t>
            </w:r>
            <w:bookmarkStart w:id="10" w:name="xdx_90D_edei--EntityAddressStateOrProvin"/>
            <w:bookmarkEnd w:id="10"/>
            <w:r>
              <w:rPr>
                <w:rFonts w:ascii="Times New Roman;Times;Serif" w:hAnsi="Times New Roman;Times;Serif"/>
                <w:b/>
                <w:i w:val="false"/>
                <w:caps w:val="false"/>
                <w:smallCaps w:val="false"/>
                <w:sz w:val="20"/>
              </w:rPr>
              <w:t>Pennsylvania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1" w:name="xdx_901_edei--EntityAddressPostalZipCode"/>
            <w:bookmarkEnd w:id="11"/>
            <w:r>
              <w:rPr>
                <w:rFonts w:ascii="Times New Roman;Times;Serif" w:hAnsi="Times New Roman;Times;Serif"/>
                <w:b/>
                <w:i w:val="false"/>
                <w:caps w:val="false"/>
                <w:smallCaps w:val="false"/>
                <w:sz w:val="20"/>
              </w:rPr>
              <w:t>19104</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D_edei--CityAreaCode_c20260825__20"/>
      <w:bookmarkEnd w:id="12"/>
      <w:r>
        <w:rPr>
          <w:rFonts w:ascii="Times New Roman;Times;Serif" w:hAnsi="Times New Roman;Times;Serif"/>
          <w:b/>
          <w:i w:val="false"/>
          <w:caps w:val="false"/>
          <w:smallCaps w:val="false"/>
          <w:sz w:val="20"/>
        </w:rPr>
        <w:t xml:space="preserve">215) </w:t>
      </w:r>
      <w:bookmarkStart w:id="13" w:name="xdx_907_edei--LocalPhoneNumber_c20260825"/>
      <w:bookmarkEnd w:id="13"/>
      <w:r>
        <w:rPr>
          <w:rFonts w:ascii="Times New Roman;Times;Serif" w:hAnsi="Times New Roman;Times;Serif"/>
          <w:b/>
          <w:i w:val="false"/>
          <w:caps w:val="false"/>
          <w:smallCaps w:val="false"/>
          <w:sz w:val="20"/>
        </w:rPr>
        <w:t>495-1150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A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SolicitingMaterial_c202608"/>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D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F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shd w:fill="FFFFFF" w:val="clear"/>
        <w:tblLayout w:type="fixed"/>
        <w:tblCellMar>
          <w:top w:w="0" w:type="dxa"/>
          <w:left w:w="0" w:type="dxa"/>
          <w:bottom w:w="28" w:type="dxa"/>
          <w:right w:w="0" w:type="dxa"/>
        </w:tblCellMar>
      </w:tblPr>
      <w:tblGrid>
        <w:gridCol w:w="4190"/>
        <w:gridCol w:w="60"/>
        <w:gridCol w:w="1085"/>
        <w:gridCol w:w="60"/>
        <w:gridCol w:w="2660"/>
      </w:tblGrid>
      <w:tr>
        <w:trPr/>
        <w:tc>
          <w:tcPr>
            <w:tcW w:w="4190" w:type="dxa"/>
            <w:tcBorders>
              <w:bottom w:val="single" w:sz="8" w:space="0" w:color="000000"/>
            </w:tcBorders>
            <w:shd w:fill="FFFFFF" w:val="clear"/>
            <w:vAlign w:val="center"/>
          </w:tcPr>
          <w:p>
            <w:pPr>
              <w:pStyle w:val="TableContents"/>
              <w:bidi w:val="0"/>
              <w:spacing w:before="0" w:after="283"/>
              <w:jc w:val="center"/>
              <w:rPr>
                <w:b/>
                <w:i w:val="false"/>
                <w:caps w:val="false"/>
                <w:smallCaps w:val="false"/>
              </w:rPr>
            </w:pPr>
            <w:r>
              <w:rPr>
                <w:b/>
                <w:i w:val="false"/>
                <w:caps w:val="false"/>
                <w:smallCaps w:val="false"/>
              </w:rPr>
              <w:t xml:space="preserve">Title of each class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5" w:type="dxa"/>
            <w:tcBorders>
              <w:bottom w:val="single" w:sz="8" w:space="0" w:color="000000"/>
            </w:tcBorders>
            <w:shd w:fill="FFFFFF" w:val="clear"/>
            <w:vAlign w:val="center"/>
          </w:tcPr>
          <w:p>
            <w:pPr>
              <w:pStyle w:val="TableContents"/>
              <w:bidi w:val="0"/>
              <w:spacing w:before="0" w:after="283"/>
              <w:jc w:val="center"/>
              <w:rPr/>
            </w:pPr>
            <w:r>
              <w:rPr>
                <w:b/>
              </w:rPr>
              <w:t>Trading</w:t>
            </w:r>
            <w:r>
              <w:rPr/>
              <w:br/>
            </w:r>
            <w:r>
              <w:rPr>
                <w:b/>
                <w:i w:val="false"/>
                <w:caps w:val="false"/>
                <w:smallCaps w:val="false"/>
              </w:rPr>
              <w:t xml:space="preserve">Symbol(s)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60" w:type="dxa"/>
            <w:tcBorders>
              <w:bottom w:val="single" w:sz="8" w:space="0" w:color="000000"/>
            </w:tcBorders>
            <w:shd w:fill="FFFFFF" w:val="clear"/>
            <w:vAlign w:val="center"/>
          </w:tcPr>
          <w:p>
            <w:pPr>
              <w:pStyle w:val="TableContents"/>
              <w:bidi w:val="0"/>
              <w:spacing w:before="0" w:after="283"/>
              <w:jc w:val="center"/>
              <w:rPr>
                <w:b/>
                <w:i w:val="false"/>
                <w:caps w:val="false"/>
                <w:smallCaps w:val="false"/>
              </w:rPr>
            </w:pPr>
            <w:r>
              <w:rPr>
                <w:b/>
                <w:i w:val="false"/>
                <w:caps w:val="false"/>
                <w:smallCaps w:val="false"/>
              </w:rPr>
              <w:t>Name of each exchange</w:t>
              <w:br/>
              <w:t xml:space="preserve">on which registered </w:t>
            </w:r>
          </w:p>
        </w:tc>
      </w:tr>
      <w:tr>
        <w:trPr/>
        <w:tc>
          <w:tcPr>
            <w:tcW w:w="4190" w:type="dxa"/>
            <w:tcBorders/>
            <w:shd w:fill="FFFFFF" w:val="clear"/>
            <w:tcMar>
              <w:bottom w:w="0" w:type="dxa"/>
            </w:tcMar>
            <w:vAlign w:val="center"/>
          </w:tcPr>
          <w:p>
            <w:pPr>
              <w:pStyle w:val="TableContents"/>
              <w:bidi w:val="0"/>
              <w:spacing w:before="0" w:after="283"/>
              <w:jc w:val="center"/>
              <w:rPr/>
            </w:pPr>
            <w:bookmarkStart w:id="18" w:name="xdx_903_edei--Security12bTitle_c20260825"/>
            <w:bookmarkEnd w:id="18"/>
            <w:r>
              <w:rPr/>
              <w:t>Common shares, $0.001 par value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085" w:type="dxa"/>
            <w:tcBorders/>
            <w:shd w:fill="FFFFFF" w:val="clear"/>
            <w:tcMar>
              <w:bottom w:w="0" w:type="dxa"/>
            </w:tcMar>
            <w:vAlign w:val="center"/>
          </w:tcPr>
          <w:p>
            <w:pPr>
              <w:pStyle w:val="TableContents"/>
              <w:bidi w:val="0"/>
              <w:spacing w:before="0" w:after="283"/>
              <w:jc w:val="center"/>
              <w:rPr/>
            </w:pPr>
            <w:bookmarkStart w:id="19" w:name="xdx_903_edei--TradingSymbol_c20260825__2"/>
            <w:bookmarkEnd w:id="19"/>
            <w:r>
              <w:rPr/>
              <w:t>FSSL</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60" w:type="dxa"/>
            <w:tcBorders/>
            <w:shd w:fill="FFFFFF" w:val="clear"/>
            <w:tcMar>
              <w:bottom w:w="0" w:type="dxa"/>
            </w:tcMar>
            <w:vAlign w:val="center"/>
          </w:tcPr>
          <w:p>
            <w:pPr>
              <w:pStyle w:val="TableContents"/>
              <w:bidi w:val="0"/>
              <w:spacing w:before="0" w:after="283"/>
              <w:jc w:val="center"/>
              <w:rPr/>
            </w:pPr>
            <w:bookmarkStart w:id="20" w:name="xdx_90A_edei--SecurityExchangeName_c2026"/>
            <w:bookmarkEnd w:id="20"/>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7.01.</w:t>
            </w:r>
          </w:p>
        </w:tc>
        <w:tc>
          <w:tcPr>
            <w:tcW w:w="22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Regulation FD Disclosure.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FS Specialty Lending Fund (the “Company”) will make available within the “Investor Relations” section of the Company’s website (</w:t>
      </w:r>
      <w:r>
        <w:rPr>
          <w:rFonts w:ascii="Times New Roman;Times;Serif" w:hAnsi="Times New Roman;Times;Serif"/>
          <w:b w:val="false"/>
          <w:i/>
          <w:caps w:val="false"/>
          <w:smallCaps w:val="false"/>
          <w:sz w:val="20"/>
          <w:u w:val="single"/>
        </w:rPr>
        <w:t>https://www.fssl.futurestandard.com/fund-information#investor-relations</w:t>
      </w:r>
      <w:r>
        <w:rPr>
          <w:rFonts w:ascii="Times New Roman;Times;Serif" w:hAnsi="Times New Roman;Times;Serif"/>
          <w:b w:val="false"/>
          <w:i w:val="false"/>
          <w:caps w:val="false"/>
          <w:smallCaps w:val="false"/>
          <w:sz w:val="20"/>
        </w:rPr>
        <w:t>) a presentation containing financial and operating information after the market close on Tuesday, August 25, 2026. Except as may be required by federal securities laws, the Company undertakes no duty or obligation to update or revise the information contained in the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furnished in this Item 7.01 shall not be deemed to be “filed” for purposes of Section 18 of the Securities Exchange Act of 1934, as amended (the “Exchange Act”), or otherwise subject to the liabilities of that section, and is not incorporated by reference into any filing under the Securities Act of 1933, as amended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may contain certain forward-looking statements that are not historical facts, including, without limitation, statements with regard to future events or the future performance or financial condition of the Company. Words such as “anticipate,” “believe,” “expect,” “intend,” “project” and “future” or similar expressions indicate forward-looking statements, although not all forward-looking statements include these words. These forward-looking statements are not guarantees of performance and are subject to risks, uncertainties and other factors, some of which are beyond the Company’s control and difficult to predict and could cause actual results to differ materially from those expressed or forecasted in the forward-looking statements for any reason, including those factors set forth in the Company’s filings the Company makes with the Securities and Exchange Commisssion.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without limitation, changes in the economy, geo-political risks, risks associated with possible disruption in the Company’s operations or the economy generally due to terrorism, natural disasters or pandemics, future changes in laws or regulations and conditions in the Company’s operating area, and the price at which shares of common stock may trade on the New York Stock Exchange. Some of these factors are enumerated in the filings the Company makes with the Securities and Exchange Commission. The Company has based the forward-looking statements included herein on information available to the Company on the date hereof. Except as required by federal securities laws, the Company undertakes no obligation to update or revise any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3745" w:type="dxa"/>
        <w:jc w:val="left"/>
        <w:tblInd w:w="0" w:type="dxa"/>
        <w:tblLayout w:type="fixed"/>
        <w:tblCellMar>
          <w:top w:w="0" w:type="dxa"/>
          <w:left w:w="0" w:type="dxa"/>
          <w:bottom w:w="0" w:type="dxa"/>
          <w:right w:w="0" w:type="dxa"/>
        </w:tblCellMar>
      </w:tblPr>
      <w:tblGrid>
        <w:gridCol w:w="830"/>
        <w:gridCol w:w="2915"/>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970" w:type="dxa"/>
        <w:jc w:val="left"/>
        <w:tblInd w:w="0" w:type="dxa"/>
        <w:shd w:fill="FFFFFF" w:val="clear"/>
        <w:tblLayout w:type="fixed"/>
        <w:tblCellMar>
          <w:top w:w="0" w:type="dxa"/>
          <w:left w:w="0" w:type="dxa"/>
          <w:bottom w:w="0" w:type="dxa"/>
          <w:right w:w="0" w:type="dxa"/>
        </w:tblCellMar>
      </w:tblPr>
      <w:tblGrid>
        <w:gridCol w:w="260"/>
        <w:gridCol w:w="710"/>
      </w:tblGrid>
      <w:tr>
        <w:trPr/>
        <w:tc>
          <w:tcPr>
            <w:tcW w:w="260" w:type="dxa"/>
            <w:tcBorders/>
            <w:shd w:fill="FFFFFF" w:val="cle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(d)</w:t>
            </w:r>
          </w:p>
        </w:tc>
        <w:tc>
          <w:tcPr>
            <w:tcW w:w="710" w:type="dxa"/>
            <w:tcBorders/>
            <w:shd w:fill="FFFFFF" w:val="clear"/>
            <w:vAlign w:val="center"/>
          </w:tcPr>
          <w:p>
            <w:pPr>
              <w:pStyle w:val="TableContents"/>
              <w:bidi w:val="0"/>
              <w:spacing w:before="0" w:after="283"/>
              <w:jc w:val="left"/>
              <w:rPr>
                <w:rFonts w:ascii="Times New Roman;Times;Serif" w:hAnsi="Times New Roman;Times;Serif"/>
                <w:i/>
                <w:sz w:val="20"/>
                <w:u w:val="single"/>
              </w:rPr>
            </w:pPr>
            <w:r>
              <w:rPr>
                <w:rFonts w:ascii="Times New Roman;Times;Serif" w:hAnsi="Times New Roman;Times;Serif"/>
                <w:i/>
                <w:sz w:val="20"/>
                <w:u w:val="single"/>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7525" w:type="dxa"/>
        <w:jc w:val="left"/>
        <w:tblInd w:w="0" w:type="dxa"/>
        <w:shd w:fill="FFFFFF" w:val="clear"/>
        <w:tblLayout w:type="fixed"/>
        <w:tblCellMar>
          <w:top w:w="0" w:type="dxa"/>
          <w:left w:w="0" w:type="dxa"/>
          <w:bottom w:w="0" w:type="dxa"/>
          <w:right w:w="0" w:type="dxa"/>
        </w:tblCellMar>
      </w:tblPr>
      <w:tblGrid>
        <w:gridCol w:w="75"/>
        <w:gridCol w:w="965"/>
        <w:gridCol w:w="6485"/>
      </w:tblGrid>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pPr>
            <w:r>
              <w:rPr/>
              <w:t> </w:t>
            </w:r>
          </w:p>
        </w:tc>
        <w:tc>
          <w:tcPr>
            <w:tcW w:w="648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SIGNATURE </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30" w:type="dxa"/>
        <w:jc w:val="left"/>
        <w:tblInd w:w="0" w:type="dxa"/>
        <w:tblLayout w:type="fixed"/>
        <w:tblCellMar>
          <w:top w:w="0" w:type="dxa"/>
          <w:left w:w="0" w:type="dxa"/>
          <w:bottom w:w="0" w:type="dxa"/>
          <w:right w:w="0" w:type="dxa"/>
        </w:tblCellMar>
      </w:tblPr>
      <w:tblGrid>
        <w:gridCol w:w="1865"/>
        <w:gridCol w:w="320"/>
        <w:gridCol w:w="2045"/>
      </w:tblGrid>
      <w:tr>
        <w:trPr/>
        <w:tc>
          <w:tcPr>
            <w:tcW w:w="1865" w:type="dxa"/>
            <w:tcBorders/>
            <w:vAlign w:val="center"/>
          </w:tcPr>
          <w:p>
            <w:pPr>
              <w:pStyle w:val="TableContents"/>
              <w:bidi w:val="0"/>
              <w:spacing w:before="0" w:after="283"/>
              <w:jc w:val="left"/>
              <w:rPr/>
            </w:pPr>
            <w:r>
              <w:rPr/>
              <w:t> </w:t>
            </w:r>
          </w:p>
        </w:tc>
        <w:tc>
          <w:tcPr>
            <w:tcW w:w="236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FS Specialty Lending Fund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25,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045" w:type="dxa"/>
            <w:tcBorders>
              <w:bottom w:val="single" w:sz="8" w:space="0" w:color="000000"/>
            </w:tcBorders>
            <w:tcMar>
              <w:bottom w:w="28" w:type="dxa"/>
            </w:tcMar>
            <w:vAlign w:val="center"/>
          </w:tcPr>
          <w:p>
            <w:pPr>
              <w:pStyle w:val="TableContents"/>
              <w:bidi w:val="0"/>
              <w:spacing w:before="0" w:after="283"/>
              <w:jc w:val="left"/>
              <w:rPr/>
            </w:pPr>
            <w:r>
              <w:rPr/>
              <w:t>/s/ Stephen Sypherd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Sypherd</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0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General Counsel</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795</Words>
  <Characters>4621</Characters>
  <CharactersWithSpaces>5416</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