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15279d1_8k.htm"/>
      <w:bookmarkStart w:id="1" w:name="kstm2615279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522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May 22,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bookmarkStart w:id="4" w:name="xdx_908_edei--EntityRegistrantName_c2026"/>
      <w:bookmarkEnd w:id="4"/>
      <w:r>
        <w:rPr>
          <w:rFonts w:ascii="Times New Roman;Times;Serif" w:hAnsi="Times New Roman;Times;Serif"/>
          <w:b/>
          <w:i w:val="false"/>
          <w:caps w:val="false"/>
          <w:smallCaps w:val="false"/>
          <w:sz w:val="32"/>
        </w:rPr>
        <w:t>FS Specialty Lending Fund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7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9_edei--EntityFileNumber_c20260522"/>
            <w:bookmarkEnd w:id="6"/>
            <w:r>
              <w:rPr>
                <w:rFonts w:ascii="Times New Roman;Times;Serif" w:hAnsi="Times New Roman;Times;Serif"/>
                <w:b/>
                <w:i w:val="false"/>
                <w:caps w:val="false"/>
                <w:smallCaps w:val="false"/>
                <w:sz w:val="20"/>
              </w:rPr>
              <w:t>811-24080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 xml:space="preserve">33-4638504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3025 JFK Boulevard, OFC 500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8_edei--EntityAddressCityOrTown_c2"/>
            <w:bookmarkEnd w:id="9"/>
            <w:r>
              <w:rPr>
                <w:rFonts w:ascii="Times New Roman;Times;Serif" w:hAnsi="Times New Roman;Times;Serif"/>
                <w:b/>
                <w:i w:val="false"/>
                <w:caps w:val="false"/>
                <w:smallCaps w:val="false"/>
                <w:sz w:val="20"/>
              </w:rPr>
              <w:t xml:space="preserve">Philadelphia, </w:t>
            </w:r>
            <w:bookmarkStart w:id="10" w:name="xdx_90D_edei--EntityAddressStateOrProvin"/>
            <w:bookmarkEnd w:id="10"/>
            <w:r>
              <w:rPr>
                <w:rFonts w:ascii="Times New Roman;Times;Serif" w:hAnsi="Times New Roman;Times;Serif"/>
                <w:b/>
                <w:i w:val="false"/>
                <w:caps w:val="false"/>
                <w:smallCaps w:val="false"/>
                <w:sz w:val="20"/>
              </w:rPr>
              <w:t>Pennsylvania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1_edei--EntityAddressPostalZipCode"/>
            <w:bookmarkEnd w:id="11"/>
            <w:r>
              <w:rPr>
                <w:rFonts w:ascii="Times New Roman;Times;Serif" w:hAnsi="Times New Roman;Times;Serif"/>
                <w:b/>
                <w:i w:val="false"/>
                <w:caps w:val="false"/>
                <w:smallCaps w:val="false"/>
                <w:sz w:val="20"/>
              </w:rPr>
              <w:t>19104</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3_edei--CityAreaCode_c20260522__20"/>
      <w:bookmarkEnd w:id="12"/>
      <w:r>
        <w:rPr>
          <w:rFonts w:ascii="Times New Roman;Times;Serif" w:hAnsi="Times New Roman;Times;Serif"/>
          <w:b/>
          <w:i w:val="false"/>
          <w:caps w:val="false"/>
          <w:smallCaps w:val="false"/>
          <w:sz w:val="20"/>
        </w:rPr>
        <w:t>215)</w:t>
      </w:r>
      <w:r>
        <w:rPr>
          <w:rFonts w:ascii="Times New Roman;Times;Serif" w:hAnsi="Times New Roman;Times;Serif"/>
          <w:b w:val="false"/>
          <w:i w:val="false"/>
          <w:caps w:val="false"/>
          <w:smallCaps w:val="false"/>
          <w:sz w:val="20"/>
        </w:rPr>
        <w:t xml:space="preserve"> </w:t>
      </w:r>
      <w:bookmarkStart w:id="13" w:name="xdx_903_edei--LocalPhoneNumber_c20260522"/>
      <w:bookmarkEnd w:id="13"/>
      <w:r>
        <w:rPr>
          <w:rFonts w:ascii="Times New Roman;Times;Serif" w:hAnsi="Times New Roman;Times;Serif"/>
          <w:b/>
          <w:i w:val="false"/>
          <w:caps w:val="false"/>
          <w:smallCaps w:val="false"/>
          <w:sz w:val="20"/>
        </w:rPr>
        <w:t>495-1150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8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9_edei--SolicitingMaterial_c202605"/>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tbl>
      <w:tblPr>
        <w:tblW w:w="2898" w:type="dxa"/>
        <w:jc w:val="left"/>
        <w:tblInd w:w="0" w:type="dxa"/>
        <w:tblLayout w:type="fixed"/>
        <w:tblCellMar>
          <w:top w:w="0" w:type="dxa"/>
          <w:left w:w="0" w:type="dxa"/>
          <w:bottom w:w="0" w:type="dxa"/>
          <w:right w:w="0" w:type="dxa"/>
        </w:tblCellMar>
      </w:tblPr>
      <w:tblGrid>
        <w:gridCol w:w="38"/>
        <w:gridCol w:w="23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EntityEmergingGrowthCompan"/>
            <w:bookmarkEnd w:id="18"/>
            <w:r>
              <w:rPr/>
              <w:t>☐</w:t>
            </w:r>
          </w:p>
        </w:tc>
        <w:tc>
          <w:tcPr>
            <w:tcW w:w="2630" w:type="dxa"/>
            <w:tcBorders/>
            <w:vAlign w:val="center"/>
          </w:tcPr>
          <w:p>
            <w:pPr>
              <w:pStyle w:val="TableContents"/>
              <w:bidi w:val="0"/>
              <w:spacing w:before="0" w:after="283"/>
              <w:jc w:val="both"/>
              <w:rPr>
                <w:b w:val="false"/>
                <w:i w:val="false"/>
                <w:caps w:val="false"/>
                <w:smallCaps w:val="false"/>
              </w:rPr>
            </w:pPr>
            <w:r>
              <w:rPr>
                <w:b w:val="false"/>
                <w:i w:val="false"/>
                <w:caps w:val="false"/>
                <w:smallCaps w:val="false"/>
              </w:rPr>
              <w:t>Emerging growth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 Specialty Lending Fund (the “Company”) will make available within the “Investor Relations” section of the Company’s website (</w:t>
      </w:r>
      <w:r>
        <w:rPr>
          <w:rFonts w:ascii="Times New Roman;Times;Serif" w:hAnsi="Times New Roman;Times;Serif"/>
          <w:b w:val="false"/>
          <w:i/>
          <w:caps w:val="false"/>
          <w:smallCaps w:val="false"/>
          <w:sz w:val="20"/>
          <w:u w:val="single"/>
        </w:rPr>
        <w:t>https://www.fssl.futurestandard.com/fund-information#investor-relations</w:t>
      </w:r>
      <w:r>
        <w:rPr>
          <w:rFonts w:ascii="Times New Roman;Times;Serif" w:hAnsi="Times New Roman;Times;Serif"/>
          <w:b w:val="false"/>
          <w:i w:val="false"/>
          <w:caps w:val="false"/>
          <w:smallCaps w:val="false"/>
          <w:sz w:val="20"/>
        </w:rPr>
        <w:t>) a presentation containing financial and operating information after the market close on Friday, May 22, 2026. Except as may be required by federal securities laws, the Company undertakes no duty or obligation to update or revise the information contained in the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shall not be deemed to be “filed” for purposes of Section 18 of the Securities Exchange Act of 1934, as amended (the “Exchange Act”), or otherwise subject to the liabilities of that section, and is not incorporated by reference into any filing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contain certain forward-looking statements, including statements with regard to future events or the future performance or operation of the Company. Words such as “anticipates,” “believes,” “expects,” “projects” and “future” or similar expressions are intended to identify forward-looking statements. These forward-looking statements are subject to the inherent uncertainties in predicting future results and conditions. Certain factors could cause actual results to differ materially from those projected in these forward-looking statements. Factors that could cause actual results to differ materially include, without limitation, changes in the economy, risks associated with possible disruption in the Company’s operations or the economy generally due to terrorism, geo-political risks, natural disasters or pandemics, future changes in laws or regulations and conditions in the Company’s operating area, and the price at which shares of common stock may trade on the New York Stock Exchange. Some of these factors are enumerated in the filings the Company makes with the Securities and Exchange Commission. The Company undertakes no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10" w:type="dxa"/>
        <w:shd w:fill="FFFFFF" w:val="clear"/>
        <w:tblLayout w:type="fixed"/>
        <w:tblCellMar>
          <w:top w:w="28" w:type="dxa"/>
          <w:left w:w="28" w:type="dxa"/>
          <w:bottom w:w="28" w:type="dxa"/>
          <w:right w:w="0" w:type="dxa"/>
        </w:tblCellMar>
      </w:tblPr>
      <w:tblGrid>
        <w:gridCol w:w="830"/>
        <w:gridCol w:w="2915"/>
      </w:tblGrid>
      <w:tr>
        <w:trPr/>
        <w:tc>
          <w:tcPr>
            <w:tcW w:w="830" w:type="dxa"/>
            <w:tcBorders>
              <w:top w:val="single" w:sz="8" w:space="0" w:color="000000"/>
              <w:left w:val="single" w:sz="8" w:space="0" w:color="000000"/>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top w:val="single" w:sz="8" w:space="0" w:color="000000"/>
              <w:left w:val="single" w:sz="8" w:space="0" w:color="000000"/>
              <w:bottom w:val="single" w:sz="8" w:space="0" w:color="000000"/>
              <w:right w:val="single" w:sz="8" w:space="0" w:color="000000"/>
            </w:tcBorders>
            <w:shd w:fill="FFFFFF" w:val="clear"/>
            <w:tcMar>
              <w:right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970" w:type="dxa"/>
        <w:jc w:val="left"/>
        <w:tblInd w:w="0" w:type="dxa"/>
        <w:shd w:fill="FFFFFF" w:val="clear"/>
        <w:tblLayout w:type="fixed"/>
        <w:tblCellMar>
          <w:top w:w="0" w:type="dxa"/>
          <w:left w:w="0" w:type="dxa"/>
          <w:bottom w:w="0" w:type="dxa"/>
          <w:right w:w="0" w:type="dxa"/>
        </w:tblCellMar>
      </w:tblPr>
      <w:tblGrid>
        <w:gridCol w:w="260"/>
        <w:gridCol w:w="710"/>
      </w:tblGrid>
      <w:tr>
        <w:trPr/>
        <w:tc>
          <w:tcPr>
            <w:tcW w:w="260"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710" w:type="dxa"/>
            <w:tcBorders/>
            <w:shd w:fill="FFFFFF" w:val="clear"/>
            <w:vAlign w:val="center"/>
          </w:tcPr>
          <w:p>
            <w:pPr>
              <w:pStyle w:val="TableContents"/>
              <w:bidi w:val="0"/>
              <w:spacing w:before="0" w:after="283"/>
              <w:jc w:val="left"/>
              <w:rPr>
                <w:rFonts w:ascii="Times New Roman;Times;Serif" w:hAnsi="Times New Roman;Times;Serif"/>
                <w:i/>
                <w:sz w:val="20"/>
                <w:u w:val="single"/>
              </w:rPr>
            </w:pPr>
            <w:r>
              <w:rPr>
                <w:rFonts w:ascii="Times New Roman;Times;Serif" w:hAnsi="Times New Roman;Times;Serif"/>
                <w:i/>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0" w:type="dxa"/>
          <w:right w:w="0" w:type="dxa"/>
        </w:tblCellMar>
      </w:tblPr>
      <w:tblGrid>
        <w:gridCol w:w="75"/>
        <w:gridCol w:w="965"/>
        <w:gridCol w:w="6485"/>
      </w:tblGrid>
      <w:tr>
        <w:trPr/>
        <w:tc>
          <w:tcPr>
            <w:tcW w:w="75"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75"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944" w:type="dxa"/>
        <w:jc w:val="left"/>
        <w:tblInd w:w="0" w:type="dxa"/>
        <w:tblLayout w:type="fixed"/>
        <w:tblCellMar>
          <w:top w:w="0" w:type="dxa"/>
          <w:left w:w="0" w:type="dxa"/>
          <w:bottom w:w="0" w:type="dxa"/>
          <w:right w:w="0" w:type="dxa"/>
        </w:tblCellMar>
      </w:tblPr>
      <w:tblGrid>
        <w:gridCol w:w="470"/>
        <w:gridCol w:w="1160"/>
        <w:gridCol w:w="341"/>
        <w:gridCol w:w="1973"/>
      </w:tblGrid>
      <w:tr>
        <w:trPr/>
        <w:tc>
          <w:tcPr>
            <w:tcW w:w="1630" w:type="dxa"/>
            <w:gridSpan w:val="2"/>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Specialty Lending Fund</w:t>
            </w:r>
          </w:p>
        </w:tc>
      </w:tr>
      <w:tr>
        <w:trPr/>
        <w:tc>
          <w:tcPr>
            <w:tcW w:w="1630" w:type="dxa"/>
            <w:gridSpan w:val="2"/>
            <w:tcBorders/>
            <w:vAlign w:val="center"/>
          </w:tcPr>
          <w:p>
            <w:pPr>
              <w:pStyle w:val="TableContents"/>
              <w:bidi w:val="0"/>
              <w:spacing w:before="0" w:after="283"/>
              <w:jc w:val="left"/>
              <w:rPr/>
            </w:pPr>
            <w:r>
              <w:rPr/>
              <w:t> </w:t>
            </w:r>
          </w:p>
        </w:tc>
        <w:tc>
          <w:tcPr>
            <w:tcW w:w="2314" w:type="dxa"/>
            <w:gridSpan w:val="2"/>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22, 2026</w:t>
            </w:r>
          </w:p>
        </w:tc>
        <w:tc>
          <w:tcPr>
            <w:tcW w:w="3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7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Stephen S. Sypherd</w:t>
            </w:r>
          </w:p>
        </w:tc>
      </w:tr>
      <w:tr>
        <w:trPr/>
        <w:tc>
          <w:tcPr>
            <w:tcW w:w="4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 Sypherd</w:t>
            </w:r>
          </w:p>
        </w:tc>
      </w:tr>
      <w:tr>
        <w:trPr/>
        <w:tc>
          <w:tcPr>
            <w:tcW w:w="47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341" w:type="dxa"/>
            <w:tcBorders/>
            <w:vAlign w:val="center"/>
          </w:tcPr>
          <w:p>
            <w:pPr>
              <w:pStyle w:val="TableContents"/>
              <w:bidi w:val="0"/>
              <w:spacing w:before="0" w:after="283"/>
              <w:jc w:val="left"/>
              <w:rPr/>
            </w:pPr>
            <w:r>
              <w:rPr/>
              <w:t> </w:t>
            </w:r>
          </w:p>
        </w:tc>
        <w:tc>
          <w:tcPr>
            <w:tcW w:w="197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General Counsel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656</Words>
  <Characters>3794</Characters>
  <CharactersWithSpaces>4450</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