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2380d1_8k.htm"/>
      <w:bookmarkStart w:id="1" w:name="kstm2622380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FS Specialty Lending Fund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8_edei--EntityFileNumber_c20260803"/>
            <w:bookmarkEnd w:id="6"/>
            <w:r>
              <w:rPr>
                <w:rFonts w:ascii="Times New Roman;Times;Serif" w:hAnsi="Times New Roman;Times;Serif"/>
                <w:b/>
                <w:i w:val="false"/>
                <w:caps w:val="false"/>
                <w:smallCaps w:val="false"/>
                <w:sz w:val="20"/>
              </w:rPr>
              <w:t>811-24080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 xml:space="preserve">27-6822130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3025 JFK Boulevard, OFC 500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Philadelphia, </w:t>
            </w:r>
            <w:bookmarkStart w:id="10" w:name="xdx_906_edei--EntityAddressStateOrProvin"/>
            <w:bookmarkEnd w:id="10"/>
            <w:r>
              <w:rPr>
                <w:rFonts w:ascii="Times New Roman;Times;Serif" w:hAnsi="Times New Roman;Times;Serif"/>
                <w:b/>
                <w:i w:val="false"/>
                <w:caps w:val="false"/>
                <w:smallCaps w:val="false"/>
                <w:sz w:val="20"/>
              </w:rPr>
              <w:t>Pennsylvania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C_edei--EntityAddressPostalZipCode"/>
            <w:bookmarkEnd w:id="11"/>
            <w:r>
              <w:rPr>
                <w:rFonts w:ascii="Times New Roman;Times;Serif" w:hAnsi="Times New Roman;Times;Serif"/>
                <w:b/>
                <w:i w:val="false"/>
                <w:caps w:val="false"/>
                <w:smallCaps w:val="false"/>
                <w:sz w:val="20"/>
              </w:rPr>
              <w:t>19104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C_edei--CityAreaCode_c20260803__20"/>
      <w:bookmarkEnd w:id="12"/>
      <w:r>
        <w:rPr>
          <w:rFonts w:ascii="Times New Roman;Times;Serif" w:hAnsi="Times New Roman;Times;Serif"/>
          <w:b/>
          <w:i w:val="false"/>
          <w:caps w:val="false"/>
          <w:smallCaps w:val="false"/>
          <w:sz w:val="20"/>
        </w:rPr>
        <w:t xml:space="preserve">215) </w:t>
      </w:r>
      <w:bookmarkStart w:id="13" w:name="xdx_90D_edei--LocalPhoneNumber_c20260803"/>
      <w:bookmarkEnd w:id="13"/>
      <w:r>
        <w:rPr>
          <w:rFonts w:ascii="Times New Roman;Times;Serif" w:hAnsi="Times New Roman;Times;Serif"/>
          <w:b/>
          <w:i w:val="false"/>
          <w:caps w:val="false"/>
          <w:smallCaps w:val="false"/>
          <w:sz w:val="20"/>
        </w:rPr>
        <w:t>495-1150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C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SolicitingMaterial_c202608"/>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shd w:fill="FFFFFF" w:val="clear"/>
        <w:tblLayout w:type="fixed"/>
        <w:tblCellMar>
          <w:top w:w="0" w:type="dxa"/>
          <w:left w:w="0" w:type="dxa"/>
          <w:bottom w:w="28" w:type="dxa"/>
          <w:right w:w="0" w:type="dxa"/>
        </w:tblCellMar>
      </w:tblPr>
      <w:tblGrid>
        <w:gridCol w:w="4190"/>
        <w:gridCol w:w="60"/>
        <w:gridCol w:w="1085"/>
        <w:gridCol w:w="60"/>
        <w:gridCol w:w="2660"/>
      </w:tblGrid>
      <w:tr>
        <w:trPr/>
        <w:tc>
          <w:tcPr>
            <w:tcW w:w="4190" w:type="dxa"/>
            <w:tcBorders>
              <w:bottom w:val="single" w:sz="8" w:space="0" w:color="000000"/>
            </w:tcBorders>
            <w:shd w:fill="FFFFFF" w:val="clear"/>
            <w:vAlign w:val="center"/>
          </w:tcPr>
          <w:p>
            <w:pPr>
              <w:pStyle w:val="TableContents"/>
              <w:bidi w:val="0"/>
              <w:spacing w:before="0" w:after="283"/>
              <w:jc w:val="center"/>
              <w:rPr>
                <w:b/>
                <w:i w:val="false"/>
                <w:caps w:val="false"/>
                <w:smallCaps w:val="false"/>
              </w:rPr>
            </w:pPr>
            <w:r>
              <w:rPr>
                <w:b/>
                <w:i w:val="false"/>
                <w:caps w:val="false"/>
                <w:smallCaps w:val="false"/>
              </w:rPr>
              <w:t xml:space="preserve">Title of each class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shd w:fill="FFFFFF" w:val="clear"/>
            <w:vAlign w:val="center"/>
          </w:tcPr>
          <w:p>
            <w:pPr>
              <w:pStyle w:val="TableContents"/>
              <w:bidi w:val="0"/>
              <w:spacing w:before="0" w:after="283"/>
              <w:jc w:val="center"/>
              <w:rPr/>
            </w:pPr>
            <w:r>
              <w:rPr>
                <w:b/>
              </w:rPr>
              <w:t>Trading</w:t>
            </w:r>
            <w:r>
              <w:rPr/>
              <w:br/>
            </w:r>
            <w:r>
              <w:rPr>
                <w:b/>
                <w:i w:val="false"/>
                <w:caps w:val="false"/>
                <w:smallCaps w:val="false"/>
              </w:rPr>
              <w:t xml:space="preserve">Symbol(s)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60" w:type="dxa"/>
            <w:tcBorders>
              <w:bottom w:val="single" w:sz="8" w:space="0" w:color="000000"/>
            </w:tcBorders>
            <w:shd w:fill="FFFFFF" w:val="clear"/>
            <w:vAlign w:val="center"/>
          </w:tcPr>
          <w:p>
            <w:pPr>
              <w:pStyle w:val="TableContents"/>
              <w:bidi w:val="0"/>
              <w:spacing w:before="0" w:after="283"/>
              <w:jc w:val="center"/>
              <w:rPr>
                <w:b/>
                <w:i w:val="false"/>
                <w:caps w:val="false"/>
                <w:smallCaps w:val="false"/>
              </w:rPr>
            </w:pPr>
            <w:r>
              <w:rPr>
                <w:b/>
                <w:i w:val="false"/>
                <w:caps w:val="false"/>
                <w:smallCaps w:val="false"/>
              </w:rPr>
              <w:t>Name of each exchange</w:t>
              <w:br/>
              <w:t xml:space="preserve">on which registered </w:t>
            </w:r>
          </w:p>
        </w:tc>
      </w:tr>
      <w:tr>
        <w:trPr/>
        <w:tc>
          <w:tcPr>
            <w:tcW w:w="4190" w:type="dxa"/>
            <w:tcBorders/>
            <w:shd w:fill="FFFFFF" w:val="clear"/>
            <w:tcMar>
              <w:bottom w:w="0" w:type="dxa"/>
            </w:tcMar>
            <w:vAlign w:val="center"/>
          </w:tcPr>
          <w:p>
            <w:pPr>
              <w:pStyle w:val="TableContents"/>
              <w:bidi w:val="0"/>
              <w:spacing w:before="0" w:after="283"/>
              <w:jc w:val="center"/>
              <w:rPr/>
            </w:pPr>
            <w:bookmarkStart w:id="18" w:name="xdx_907_edei--Security12bTitle_c20260803"/>
            <w:bookmarkEnd w:id="18"/>
            <w:r>
              <w:rPr/>
              <w:t>Common shares, $0.001 par value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5" w:type="dxa"/>
            <w:tcBorders/>
            <w:shd w:fill="FFFFFF" w:val="clear"/>
            <w:tcMar>
              <w:bottom w:w="0" w:type="dxa"/>
            </w:tcMar>
            <w:vAlign w:val="center"/>
          </w:tcPr>
          <w:p>
            <w:pPr>
              <w:pStyle w:val="TableContents"/>
              <w:bidi w:val="0"/>
              <w:spacing w:before="0" w:after="283"/>
              <w:jc w:val="center"/>
              <w:rPr/>
            </w:pPr>
            <w:bookmarkStart w:id="19" w:name="xdx_905_edei--TradingSymbol_c20260803__2"/>
            <w:bookmarkEnd w:id="19"/>
            <w:r>
              <w:rPr/>
              <w:t>FSSL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60" w:type="dxa"/>
            <w:tcBorders/>
            <w:shd w:fill="FFFFFF" w:val="clear"/>
            <w:tcMar>
              <w:bottom w:w="0" w:type="dxa"/>
            </w:tcMar>
            <w:vAlign w:val="center"/>
          </w:tcPr>
          <w:p>
            <w:pPr>
              <w:pStyle w:val="TableContents"/>
              <w:bidi w:val="0"/>
              <w:spacing w:before="0" w:after="283"/>
              <w:jc w:val="center"/>
              <w:rPr/>
            </w:pPr>
            <w:bookmarkStart w:id="20" w:name="xdx_902_edei--SecurityExchangeName_c2026"/>
            <w:bookmarkEnd w:id="20"/>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875"/>
        <w:gridCol w:w="447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Submission of Matters to a Vote of Security Holders.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FS Specialty Lending Fund (the “Company”) held its Annual Meeting of Shareholders (the “Annual Meeting”) on August 3, 2026. As of June 8, 2026, the record date (the “Record Date”) for the determination of shareholders entitled to notice of, and to vote at, the Annual Meeting, </w:t>
      </w:r>
      <w:r>
        <w:rPr>
          <w:rFonts w:ascii="Times New Roman;Times;Serif" w:hAnsi="Times New Roman;Times;Serif"/>
          <w:b w:val="false"/>
          <w:i w:val="false"/>
          <w:caps w:val="false"/>
          <w:smallCaps w:val="false"/>
          <w:sz w:val="20"/>
          <w:shd w:fill="FFFFFF" w:val="clear"/>
        </w:rPr>
        <w:t xml:space="preserve">75,917,731 </w:t>
      </w:r>
      <w:r>
        <w:rPr>
          <w:rFonts w:ascii="Times New Roman;Times;Serif" w:hAnsi="Times New Roman;Times;Serif"/>
          <w:b w:val="false"/>
          <w:i w:val="false"/>
          <w:caps w:val="false"/>
          <w:smallCaps w:val="false"/>
          <w:sz w:val="20"/>
        </w:rPr>
        <w:t>shares of the Company’s common shares of beneficial interest (“Shares”) were eligible to be voted in person or by proxy. Of the eligible Shares to be voted, 53,890,877 were voted in person or by proxy at the Annual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were asked to consider and act upon the following proposal, which was described in the Company’s definitive proxy statement filed with the Securities and Exchange Commission on June 9, 2026:</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Proposal No. 1 – elect the following individuals as Class I Trustees, each of whom has been nominated for election for a three-year term expiring at the 2029 annual meeting of shareholders: (a) Charles P. Pizzi and (b) Pedro A. Ramos (the “Trustee Election Proposal”).</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trustee nominees listed in the Trustee Election Proposal were elected by the Company’s shareholders at the Annual Meeting.  The votes for, votes against, votes withheld and broker non-votes for each trustee nominee are set forth below:</w:t>
      </w:r>
    </w:p>
    <w:p>
      <w:pPr>
        <w:pStyle w:val="TextBody"/>
        <w:bidi w:val="0"/>
        <w:spacing w:before="0" w:after="0"/>
        <w:ind w:left="0" w:right="0" w:firstLine="360"/>
        <w:jc w:val="left"/>
        <w:rPr>
          <w:caps w:val="false"/>
          <w:smallCaps w:val="false"/>
        </w:rPr>
      </w:pPr>
      <w:r>
        <w:rPr>
          <w:caps w:val="false"/>
          <w:smallCaps w:val="false"/>
        </w:rPr>
        <w:t> </w:t>
      </w:r>
    </w:p>
    <w:tbl>
      <w:tblPr>
        <w:tblW w:w="7012" w:type="dxa"/>
        <w:jc w:val="left"/>
        <w:tblInd w:w="0" w:type="dxa"/>
        <w:tblLayout w:type="fixed"/>
        <w:tblCellMar>
          <w:top w:w="0" w:type="dxa"/>
          <w:left w:w="0" w:type="dxa"/>
          <w:bottom w:w="28" w:type="dxa"/>
          <w:right w:w="0" w:type="dxa"/>
        </w:tblCellMar>
      </w:tblPr>
      <w:tblGrid>
        <w:gridCol w:w="1475"/>
        <w:gridCol w:w="60"/>
        <w:gridCol w:w="60"/>
        <w:gridCol w:w="950"/>
        <w:gridCol w:w="60"/>
        <w:gridCol w:w="60"/>
        <w:gridCol w:w="69"/>
        <w:gridCol w:w="1105"/>
        <w:gridCol w:w="60"/>
        <w:gridCol w:w="60"/>
        <w:gridCol w:w="103"/>
        <w:gridCol w:w="1206"/>
        <w:gridCol w:w="60"/>
        <w:gridCol w:w="60"/>
        <w:gridCol w:w="127"/>
        <w:gridCol w:w="142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 Nominee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P. Pizzi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42,836,728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10,748,997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Pedro A. Ramos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45,239,269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8,348,291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303,317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SIGNATURE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760"/>
        <w:gridCol w:w="320"/>
        <w:gridCol w:w="2045"/>
      </w:tblGrid>
      <w:tr>
        <w:trPr/>
        <w:tc>
          <w:tcPr>
            <w:tcW w:w="1760"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Specialty Lending Fund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45" w:type="dxa"/>
            <w:tcBorders>
              <w:bottom w:val="single" w:sz="8" w:space="0" w:color="000000"/>
            </w:tcBorders>
            <w:tcMar>
              <w:bottom w:w="28" w:type="dxa"/>
            </w:tcMar>
            <w:vAlign w:val="center"/>
          </w:tcPr>
          <w:p>
            <w:pPr>
              <w:pStyle w:val="TableContents"/>
              <w:bidi w:val="0"/>
              <w:spacing w:before="0" w:after="283"/>
              <w:jc w:val="left"/>
              <w:rPr/>
            </w:pPr>
            <w:r>
              <w:rPr/>
              <w:t>/s/ Stephen Sypherd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3166</Characters>
  <CharactersWithSpaces>3781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